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1019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9E18E1" w:rsidTr="009E18E1">
        <w:tc>
          <w:tcPr>
            <w:tcW w:w="5495" w:type="dxa"/>
            <w:gridSpan w:val="4"/>
            <w:shd w:val="clear" w:color="auto" w:fill="00B0F0"/>
          </w:tcPr>
          <w:p w:rsidR="009E18E1" w:rsidRPr="00BD1502" w:rsidRDefault="009E18E1" w:rsidP="009E18E1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9E18E1" w:rsidRDefault="009E18E1" w:rsidP="009E18E1">
            <w:r w:rsidRPr="00A3725A">
              <w:t>Compétence terminale :</w:t>
            </w:r>
          </w:p>
        </w:tc>
        <w:tc>
          <w:tcPr>
            <w:tcW w:w="1100" w:type="dxa"/>
          </w:tcPr>
          <w:p w:rsidR="009E18E1" w:rsidRPr="007E16D7" w:rsidRDefault="009E18E1" w:rsidP="009E18E1">
            <w:pPr>
              <w:rPr>
                <w:b/>
              </w:rPr>
            </w:pPr>
            <w:r>
              <w:rPr>
                <w:b/>
              </w:rPr>
              <w:t>C 2.1</w:t>
            </w:r>
          </w:p>
        </w:tc>
      </w:tr>
      <w:tr w:rsidR="009E18E1" w:rsidTr="009E18E1">
        <w:tc>
          <w:tcPr>
            <w:tcW w:w="1517" w:type="dxa"/>
          </w:tcPr>
          <w:p w:rsidR="009E18E1" w:rsidRDefault="009E18E1" w:rsidP="009E18E1">
            <w:r>
              <w:t>THEME</w:t>
            </w:r>
          </w:p>
        </w:tc>
        <w:tc>
          <w:tcPr>
            <w:tcW w:w="7771" w:type="dxa"/>
            <w:gridSpan w:val="7"/>
          </w:tcPr>
          <w:p w:rsidR="009E18E1" w:rsidRDefault="009E18E1" w:rsidP="009E18E1"/>
        </w:tc>
      </w:tr>
      <w:tr w:rsidR="009E18E1" w:rsidTr="009E18E1">
        <w:tc>
          <w:tcPr>
            <w:tcW w:w="9288" w:type="dxa"/>
            <w:gridSpan w:val="8"/>
          </w:tcPr>
          <w:p w:rsidR="009E18E1" w:rsidRDefault="009E18E1" w:rsidP="009E18E1">
            <w:pPr>
              <w:jc w:val="center"/>
            </w:pPr>
            <w:r>
              <w:t>PERIODE</w:t>
            </w:r>
          </w:p>
        </w:tc>
      </w:tr>
      <w:tr w:rsidR="009E18E1" w:rsidTr="009E18E1">
        <w:tc>
          <w:tcPr>
            <w:tcW w:w="1517" w:type="dxa"/>
          </w:tcPr>
          <w:p w:rsidR="009E18E1" w:rsidRDefault="009E18E1" w:rsidP="009E18E1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9E18E1" w:rsidRDefault="009E18E1" w:rsidP="009E18E1"/>
        </w:tc>
        <w:tc>
          <w:tcPr>
            <w:tcW w:w="1033" w:type="dxa"/>
          </w:tcPr>
          <w:p w:rsidR="009E18E1" w:rsidRDefault="009E18E1" w:rsidP="009E18E1">
            <w:r>
              <w:t>1er</w:t>
            </w:r>
          </w:p>
        </w:tc>
        <w:tc>
          <w:tcPr>
            <w:tcW w:w="1509" w:type="dxa"/>
            <w:gridSpan w:val="2"/>
          </w:tcPr>
          <w:p w:rsidR="009E18E1" w:rsidRDefault="009E18E1" w:rsidP="009E18E1"/>
        </w:tc>
        <w:tc>
          <w:tcPr>
            <w:tcW w:w="1514" w:type="dxa"/>
          </w:tcPr>
          <w:p w:rsidR="009E18E1" w:rsidRDefault="009E18E1" w:rsidP="009E18E1">
            <w:r>
              <w:t>Ter</w:t>
            </w:r>
          </w:p>
        </w:tc>
        <w:tc>
          <w:tcPr>
            <w:tcW w:w="1504" w:type="dxa"/>
            <w:gridSpan w:val="2"/>
          </w:tcPr>
          <w:p w:rsidR="009E18E1" w:rsidRDefault="009E18E1" w:rsidP="009E18E1"/>
        </w:tc>
      </w:tr>
      <w:tr w:rsidR="009E18E1" w:rsidTr="009E18E1">
        <w:tc>
          <w:tcPr>
            <w:tcW w:w="1517" w:type="dxa"/>
          </w:tcPr>
          <w:p w:rsidR="009E18E1" w:rsidRDefault="009E18E1" w:rsidP="009E18E1">
            <w:r>
              <w:t>NOM</w:t>
            </w:r>
          </w:p>
        </w:tc>
        <w:tc>
          <w:tcPr>
            <w:tcW w:w="2211" w:type="dxa"/>
          </w:tcPr>
          <w:p w:rsidR="009E18E1" w:rsidRDefault="009E18E1" w:rsidP="009E18E1"/>
        </w:tc>
        <w:tc>
          <w:tcPr>
            <w:tcW w:w="1033" w:type="dxa"/>
          </w:tcPr>
          <w:p w:rsidR="009E18E1" w:rsidRDefault="009E18E1" w:rsidP="009E18E1">
            <w:r>
              <w:t>PRENOM</w:t>
            </w:r>
          </w:p>
        </w:tc>
        <w:tc>
          <w:tcPr>
            <w:tcW w:w="1509" w:type="dxa"/>
            <w:gridSpan w:val="2"/>
          </w:tcPr>
          <w:p w:rsidR="009E18E1" w:rsidRDefault="009E18E1" w:rsidP="009E18E1"/>
        </w:tc>
        <w:tc>
          <w:tcPr>
            <w:tcW w:w="1514" w:type="dxa"/>
          </w:tcPr>
          <w:p w:rsidR="009E18E1" w:rsidRDefault="009E18E1" w:rsidP="009E18E1">
            <w:r>
              <w:t>DATE</w:t>
            </w:r>
          </w:p>
        </w:tc>
        <w:tc>
          <w:tcPr>
            <w:tcW w:w="1504" w:type="dxa"/>
            <w:gridSpan w:val="2"/>
          </w:tcPr>
          <w:p w:rsidR="009E18E1" w:rsidRDefault="009E18E1" w:rsidP="009E18E1"/>
        </w:tc>
      </w:tr>
    </w:tbl>
    <w:p w:rsidR="009E18E1" w:rsidRDefault="009E18E1" w:rsidP="009E18E1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9E18E1" w:rsidTr="003A582D">
        <w:tc>
          <w:tcPr>
            <w:tcW w:w="9322" w:type="dxa"/>
            <w:shd w:val="clear" w:color="auto" w:fill="FFFF00"/>
          </w:tcPr>
          <w:p w:rsidR="009E18E1" w:rsidRDefault="009E18E1" w:rsidP="003A582D">
            <w:r w:rsidRPr="007E16D7">
              <w:rPr>
                <w:b/>
                <w:i/>
              </w:rPr>
              <w:t>OBJECTIF :</w:t>
            </w:r>
            <w:r w:rsidRPr="00BD1502">
              <w:rPr>
                <w:b/>
              </w:rPr>
              <w:t xml:space="preserve"> L’élève doit être capable </w:t>
            </w:r>
            <w:r w:rsidRPr="00626778">
              <w:rPr>
                <w:rFonts w:cs="Arial-BoldMT"/>
                <w:b/>
                <w:bCs/>
              </w:rPr>
              <w:t>Organiser l’intervention en toute sécurité</w:t>
            </w:r>
          </w:p>
        </w:tc>
      </w:tr>
    </w:tbl>
    <w:p w:rsidR="009E18E1" w:rsidRDefault="009E18E1" w:rsidP="009E18E1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9E18E1" w:rsidTr="003A582D">
        <w:tc>
          <w:tcPr>
            <w:tcW w:w="9322" w:type="dxa"/>
            <w:gridSpan w:val="2"/>
            <w:shd w:val="clear" w:color="auto" w:fill="CCC0D9" w:themeFill="accent4" w:themeFillTint="66"/>
          </w:tcPr>
          <w:p w:rsidR="009E18E1" w:rsidRPr="00BD1502" w:rsidRDefault="009E18E1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26778">
              <w:rPr>
                <w:rFonts w:cs="ArialMT"/>
              </w:rPr>
              <w:t>Dossier d’architecte relatif au lot étudié :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r w:rsidRPr="00626778">
              <w:rPr>
                <w:rFonts w:cs="TimesNewRomanPSMT"/>
              </w:rPr>
              <w:t xml:space="preserve">- </w:t>
            </w:r>
            <w:r w:rsidRPr="00626778">
              <w:rPr>
                <w:rFonts w:cs="ArialMT"/>
              </w:rPr>
              <w:t>C.C.T.G.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r w:rsidRPr="00626778">
              <w:rPr>
                <w:rFonts w:cs="TimesNewRomanPSMT"/>
              </w:rPr>
              <w:t xml:space="preserve">- </w:t>
            </w:r>
            <w:r w:rsidRPr="00626778">
              <w:rPr>
                <w:rFonts w:cs="ArialMT"/>
              </w:rPr>
              <w:t>plans,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r w:rsidRPr="00626778">
              <w:rPr>
                <w:rFonts w:cs="TimesNewRomanPSMT"/>
              </w:rPr>
              <w:t xml:space="preserve">- </w:t>
            </w:r>
            <w:r w:rsidRPr="00626778">
              <w:rPr>
                <w:rFonts w:cs="ArialMT"/>
              </w:rPr>
              <w:t>C.C.T.P.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r w:rsidRPr="00626778">
              <w:rPr>
                <w:rFonts w:cs="TimesNewRomanPSMT"/>
              </w:rPr>
              <w:t xml:space="preserve">- </w:t>
            </w:r>
            <w:r w:rsidRPr="00626778">
              <w:rPr>
                <w:rFonts w:cs="ArialMT"/>
              </w:rPr>
              <w:t>P.P.S.P.S.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r w:rsidRPr="00626778">
              <w:rPr>
                <w:rFonts w:cs="ArialMT"/>
              </w:rPr>
              <w:t>Document unique (D.U.)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26778">
              <w:rPr>
                <w:rFonts w:cs="ArialMT"/>
              </w:rPr>
              <w:t>Documents normatifs (D.T.U., avis techniques, extraits de normes, ...)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26778">
              <w:rPr>
                <w:rFonts w:cs="ArialMT"/>
              </w:rPr>
              <w:t>Ressources diverses liées à l’évaluation et à la prévention des risques liés aux activités physiques.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1A3538" w:rsidRDefault="009E18E1" w:rsidP="003A582D">
            <w:r>
              <w:rPr>
                <w:rFonts w:ascii="ArialMT" w:hAnsi="ArialMT" w:cs="ArialMT"/>
                <w:sz w:val="20"/>
                <w:szCs w:val="20"/>
              </w:rPr>
              <w:t>Documentation technique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Matériel informatique avec accès aux technologies modernes de communication (Internet, ...)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Default="009E18E1" w:rsidP="003A582D">
            <w:r>
              <w:rPr>
                <w:rFonts w:ascii="ArialMT" w:hAnsi="ArialMT" w:cs="ArialMT"/>
                <w:sz w:val="20"/>
                <w:szCs w:val="20"/>
              </w:rPr>
              <w:t>Consignes écrites et orales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930" w:type="dxa"/>
          </w:tcPr>
          <w:p w:rsidR="009E18E1" w:rsidRDefault="009E18E1" w:rsidP="003A582D"/>
        </w:tc>
      </w:tr>
    </w:tbl>
    <w:p w:rsidR="009E18E1" w:rsidRDefault="009E18E1" w:rsidP="009E18E1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9E18E1" w:rsidTr="003A582D">
        <w:tc>
          <w:tcPr>
            <w:tcW w:w="9288" w:type="dxa"/>
            <w:gridSpan w:val="3"/>
            <w:shd w:val="clear" w:color="auto" w:fill="FBD4B4" w:themeFill="accent6" w:themeFillTint="66"/>
          </w:tcPr>
          <w:p w:rsidR="009E18E1" w:rsidRPr="00BD1502" w:rsidRDefault="009E18E1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50" w:type="dxa"/>
          </w:tcPr>
          <w:p w:rsidR="009E18E1" w:rsidRDefault="009E18E1" w:rsidP="003A582D">
            <w:r>
              <w:t>C2.11</w:t>
            </w:r>
          </w:p>
        </w:tc>
        <w:tc>
          <w:tcPr>
            <w:tcW w:w="8046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Déterminer </w:t>
            </w:r>
            <w:r>
              <w:rPr>
                <w:rFonts w:ascii="ArialMT" w:hAnsi="ArialMT" w:cs="ArialMT"/>
                <w:sz w:val="20"/>
                <w:szCs w:val="20"/>
              </w:rPr>
              <w:t>des emplacements de stockage.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50" w:type="dxa"/>
          </w:tcPr>
          <w:p w:rsidR="009E18E1" w:rsidRDefault="009E18E1" w:rsidP="003A582D">
            <w:r>
              <w:t>C2.12</w:t>
            </w:r>
          </w:p>
        </w:tc>
        <w:tc>
          <w:tcPr>
            <w:tcW w:w="8046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Proposer </w:t>
            </w:r>
            <w:r>
              <w:rPr>
                <w:rFonts w:ascii="ArialMT" w:hAnsi="ArialMT" w:cs="ArialMT"/>
                <w:sz w:val="20"/>
                <w:szCs w:val="20"/>
              </w:rPr>
              <w:t>un plan d’approvisionnement</w:t>
            </w:r>
          </w:p>
        </w:tc>
      </w:tr>
      <w:tr w:rsidR="009E18E1" w:rsidTr="003A582D">
        <w:tc>
          <w:tcPr>
            <w:tcW w:w="392" w:type="dxa"/>
          </w:tcPr>
          <w:p w:rsidR="009E18E1" w:rsidRDefault="009E18E1" w:rsidP="003A582D"/>
        </w:tc>
        <w:tc>
          <w:tcPr>
            <w:tcW w:w="850" w:type="dxa"/>
          </w:tcPr>
          <w:p w:rsidR="009E18E1" w:rsidRDefault="009E18E1" w:rsidP="003A582D">
            <w:r>
              <w:t>C2.13</w:t>
            </w:r>
          </w:p>
        </w:tc>
        <w:tc>
          <w:tcPr>
            <w:tcW w:w="8046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Déterminer </w:t>
            </w:r>
            <w:r>
              <w:rPr>
                <w:rFonts w:ascii="ArialMT" w:hAnsi="ArialMT" w:cs="ArialMT"/>
                <w:sz w:val="20"/>
                <w:szCs w:val="20"/>
              </w:rPr>
              <w:t>les moyens de protection des personnels</w:t>
            </w:r>
          </w:p>
        </w:tc>
      </w:tr>
      <w:tr w:rsidR="009E18E1" w:rsidRPr="00DB47B3" w:rsidTr="003A582D">
        <w:tc>
          <w:tcPr>
            <w:tcW w:w="392" w:type="dxa"/>
          </w:tcPr>
          <w:p w:rsidR="009E18E1" w:rsidRPr="00DB47B3" w:rsidRDefault="009E18E1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9E18E1" w:rsidRPr="00DB47B3" w:rsidRDefault="009E18E1" w:rsidP="003A582D">
            <w:r>
              <w:t>C2.14</w:t>
            </w:r>
          </w:p>
        </w:tc>
        <w:tc>
          <w:tcPr>
            <w:tcW w:w="8046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Déterminer </w:t>
            </w:r>
            <w:r>
              <w:rPr>
                <w:rFonts w:ascii="ArialMT" w:hAnsi="ArialMT" w:cs="ArialMT"/>
                <w:sz w:val="20"/>
                <w:szCs w:val="20"/>
              </w:rPr>
              <w:t>les moyens de protection des biens et des abords.</w:t>
            </w:r>
          </w:p>
        </w:tc>
      </w:tr>
      <w:tr w:rsidR="009E18E1" w:rsidRPr="00DB47B3" w:rsidTr="003A582D">
        <w:tc>
          <w:tcPr>
            <w:tcW w:w="392" w:type="dxa"/>
          </w:tcPr>
          <w:p w:rsidR="009E18E1" w:rsidRPr="00DB47B3" w:rsidRDefault="009E18E1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9E18E1" w:rsidRPr="00DB47B3" w:rsidRDefault="009E18E1" w:rsidP="003A582D">
            <w:r>
              <w:t>C2.15</w:t>
            </w:r>
          </w:p>
        </w:tc>
        <w:tc>
          <w:tcPr>
            <w:tcW w:w="8046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Vérifier </w:t>
            </w:r>
            <w:r>
              <w:rPr>
                <w:rFonts w:ascii="ArialMT" w:hAnsi="ArialMT" w:cs="ArialMT"/>
                <w:sz w:val="20"/>
                <w:szCs w:val="20"/>
              </w:rPr>
              <w:t>les faisabilités techniques et réglementaires</w:t>
            </w:r>
          </w:p>
        </w:tc>
      </w:tr>
      <w:tr w:rsidR="009E18E1" w:rsidRPr="00DB47B3" w:rsidTr="003A582D">
        <w:tc>
          <w:tcPr>
            <w:tcW w:w="392" w:type="dxa"/>
          </w:tcPr>
          <w:p w:rsidR="009E18E1" w:rsidRPr="00DB47B3" w:rsidRDefault="009E18E1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9E18E1" w:rsidRPr="00DB47B3" w:rsidRDefault="009E18E1" w:rsidP="003A582D">
            <w:r>
              <w:t>C2.16</w:t>
            </w:r>
          </w:p>
        </w:tc>
        <w:tc>
          <w:tcPr>
            <w:tcW w:w="8046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Vérifier </w:t>
            </w:r>
            <w:r>
              <w:rPr>
                <w:rFonts w:ascii="ArialMT" w:hAnsi="ArialMT" w:cs="ArialMT"/>
                <w:sz w:val="20"/>
                <w:szCs w:val="20"/>
              </w:rPr>
              <w:t>la disponibilité commerciale des matériaux et des fournitures</w:t>
            </w:r>
          </w:p>
        </w:tc>
      </w:tr>
      <w:tr w:rsidR="009E18E1" w:rsidRPr="00DB47B3" w:rsidTr="003A582D">
        <w:tc>
          <w:tcPr>
            <w:tcW w:w="392" w:type="dxa"/>
          </w:tcPr>
          <w:p w:rsidR="009E18E1" w:rsidRPr="00DB47B3" w:rsidRDefault="009E18E1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9E18E1" w:rsidRPr="00DB47B3" w:rsidRDefault="009E18E1" w:rsidP="003A582D">
            <w:r>
              <w:t>C2.17</w:t>
            </w:r>
          </w:p>
        </w:tc>
        <w:tc>
          <w:tcPr>
            <w:tcW w:w="8046" w:type="dxa"/>
          </w:tcPr>
          <w:p w:rsidR="009E18E1" w:rsidRPr="00626778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Proposer </w:t>
            </w:r>
            <w:r>
              <w:rPr>
                <w:rFonts w:ascii="ArialMT" w:hAnsi="ArialMT" w:cs="ArialMT"/>
                <w:sz w:val="20"/>
                <w:szCs w:val="20"/>
              </w:rPr>
              <w:t>une variante technique.</w:t>
            </w:r>
          </w:p>
        </w:tc>
      </w:tr>
      <w:tr w:rsidR="009E18E1" w:rsidRPr="00DB47B3" w:rsidTr="003A582D">
        <w:tc>
          <w:tcPr>
            <w:tcW w:w="392" w:type="dxa"/>
          </w:tcPr>
          <w:p w:rsidR="009E18E1" w:rsidRPr="00DB47B3" w:rsidRDefault="009E18E1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9E18E1" w:rsidRDefault="009E18E1" w:rsidP="003A582D"/>
        </w:tc>
        <w:tc>
          <w:tcPr>
            <w:tcW w:w="8046" w:type="dxa"/>
          </w:tcPr>
          <w:p w:rsidR="009E18E1" w:rsidRPr="00DB47B3" w:rsidRDefault="009E18E1" w:rsidP="003A582D"/>
        </w:tc>
      </w:tr>
      <w:tr w:rsidR="009E18E1" w:rsidRPr="00DB47B3" w:rsidTr="003A582D">
        <w:tc>
          <w:tcPr>
            <w:tcW w:w="392" w:type="dxa"/>
          </w:tcPr>
          <w:p w:rsidR="009E18E1" w:rsidRPr="00DB47B3" w:rsidRDefault="009E18E1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9E18E1" w:rsidRPr="00DB47B3" w:rsidRDefault="009E18E1" w:rsidP="003A582D">
            <w:pPr>
              <w:rPr>
                <w:b/>
              </w:rPr>
            </w:pPr>
          </w:p>
        </w:tc>
        <w:tc>
          <w:tcPr>
            <w:tcW w:w="8046" w:type="dxa"/>
          </w:tcPr>
          <w:p w:rsidR="009E18E1" w:rsidRPr="00DB47B3" w:rsidRDefault="009E18E1" w:rsidP="003A582D">
            <w:pPr>
              <w:rPr>
                <w:b/>
              </w:rPr>
            </w:pPr>
          </w:p>
        </w:tc>
      </w:tr>
    </w:tbl>
    <w:p w:rsidR="009E18E1" w:rsidRDefault="009E18E1" w:rsidP="009E18E1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9E18E1" w:rsidTr="003A582D">
        <w:tc>
          <w:tcPr>
            <w:tcW w:w="7938" w:type="dxa"/>
            <w:gridSpan w:val="2"/>
            <w:shd w:val="clear" w:color="auto" w:fill="D6E3BC" w:themeFill="accent3" w:themeFillTint="66"/>
          </w:tcPr>
          <w:p w:rsidR="009E18E1" w:rsidRDefault="009E18E1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9E18E1" w:rsidRDefault="009E18E1" w:rsidP="003A582D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9E18E1" w:rsidTr="003A582D"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743F0D" w:rsidRDefault="009E18E1" w:rsidP="003A582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 xml:space="preserve">Les emplacements prennent en </w:t>
            </w:r>
            <w:r w:rsidRPr="00743F0D">
              <w:rPr>
                <w:rFonts w:cs="ArialMT"/>
                <w:sz w:val="18"/>
                <w:szCs w:val="18"/>
              </w:rPr>
              <w:t>compte les différentes contraintes</w:t>
            </w:r>
            <w:r>
              <w:rPr>
                <w:rFonts w:cs="ArialMT"/>
                <w:sz w:val="18"/>
                <w:szCs w:val="18"/>
              </w:rPr>
              <w:t xml:space="preserve"> liées à la surcharge de </w:t>
            </w:r>
            <w:r w:rsidRPr="00743F0D">
              <w:rPr>
                <w:rFonts w:cs="ArialMT"/>
                <w:sz w:val="18"/>
                <w:szCs w:val="18"/>
              </w:rPr>
              <w:t>structures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743F0D">
              <w:rPr>
                <w:rFonts w:cs="ArialMT"/>
                <w:sz w:val="18"/>
                <w:szCs w:val="18"/>
              </w:rPr>
              <w:t>,à l’accessibilité, aux implantations</w:t>
            </w:r>
            <w:r>
              <w:rPr>
                <w:rFonts w:cs="ArialMT"/>
                <w:sz w:val="18"/>
                <w:szCs w:val="18"/>
              </w:rPr>
              <w:t xml:space="preserve"> des aménagements et des réseaux </w:t>
            </w:r>
            <w:r w:rsidRPr="00743F0D">
              <w:rPr>
                <w:rFonts w:cs="ArialMT"/>
                <w:sz w:val="18"/>
                <w:szCs w:val="18"/>
              </w:rPr>
              <w:t>d’alimentation, aux aires d’</w:t>
            </w:r>
            <w:r>
              <w:rPr>
                <w:rFonts w:cs="ArialMT"/>
                <w:sz w:val="18"/>
                <w:szCs w:val="18"/>
              </w:rPr>
              <w:t xml:space="preserve">évolution et aux zones de passage, aux </w:t>
            </w:r>
            <w:r w:rsidRPr="00743F0D">
              <w:rPr>
                <w:rFonts w:cs="ArialMT"/>
                <w:sz w:val="18"/>
                <w:szCs w:val="18"/>
              </w:rPr>
              <w:t>risques</w:t>
            </w:r>
            <w:r>
              <w:rPr>
                <w:rFonts w:cs="ArialMT"/>
                <w:sz w:val="18"/>
                <w:szCs w:val="18"/>
              </w:rPr>
              <w:t xml:space="preserve"> de détérioration, de gel </w:t>
            </w:r>
            <w:proofErr w:type="spellStart"/>
            <w:r>
              <w:rPr>
                <w:rFonts w:cs="ArialMT"/>
                <w:sz w:val="18"/>
                <w:szCs w:val="18"/>
              </w:rPr>
              <w:t>et</w:t>
            </w:r>
            <w:r w:rsidRPr="00743F0D">
              <w:rPr>
                <w:rFonts w:cs="ArialMT"/>
                <w:sz w:val="18"/>
                <w:szCs w:val="18"/>
              </w:rPr>
              <w:t>de</w:t>
            </w:r>
            <w:proofErr w:type="spellEnd"/>
            <w:r w:rsidRPr="00743F0D">
              <w:rPr>
                <w:rFonts w:cs="ArialMT"/>
                <w:sz w:val="18"/>
                <w:szCs w:val="18"/>
              </w:rPr>
              <w:t xml:space="preserve"> vol, etc., ...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743F0D" w:rsidRDefault="009E18E1" w:rsidP="003A582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743F0D">
              <w:rPr>
                <w:rFonts w:cs="ArialMT"/>
                <w:sz w:val="18"/>
                <w:szCs w:val="18"/>
              </w:rPr>
              <w:t>Le plan d’</w:t>
            </w:r>
            <w:r>
              <w:rPr>
                <w:rFonts w:cs="ArialMT"/>
                <w:sz w:val="18"/>
                <w:szCs w:val="18"/>
              </w:rPr>
              <w:t xml:space="preserve">approvisionnement est </w:t>
            </w:r>
            <w:r w:rsidRPr="00743F0D">
              <w:rPr>
                <w:rFonts w:cs="ArialMT"/>
                <w:sz w:val="18"/>
                <w:szCs w:val="18"/>
              </w:rPr>
              <w:t>exp</w:t>
            </w:r>
            <w:r>
              <w:rPr>
                <w:rFonts w:cs="ArialMT"/>
                <w:sz w:val="18"/>
                <w:szCs w:val="18"/>
              </w:rPr>
              <w:t xml:space="preserve">loitable et prend en compte les </w:t>
            </w:r>
            <w:r w:rsidRPr="00743F0D">
              <w:rPr>
                <w:rFonts w:cs="ArialMT"/>
                <w:sz w:val="18"/>
                <w:szCs w:val="18"/>
              </w:rPr>
              <w:t>contraintes.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743F0D">
              <w:rPr>
                <w:rFonts w:cs="ArialMT"/>
                <w:sz w:val="18"/>
                <w:szCs w:val="18"/>
              </w:rPr>
              <w:t>La répartition des matériaux prend</w:t>
            </w:r>
            <w:r>
              <w:rPr>
                <w:rFonts w:cs="ArialMT"/>
                <w:sz w:val="18"/>
                <w:szCs w:val="18"/>
              </w:rPr>
              <w:t xml:space="preserve"> en compte le lieu de mise en </w:t>
            </w:r>
            <w:r w:rsidRPr="00743F0D">
              <w:rPr>
                <w:rFonts w:cs="ArialMT"/>
                <w:sz w:val="18"/>
                <w:szCs w:val="18"/>
              </w:rPr>
              <w:t>œuvre, l’ordre d’</w:t>
            </w:r>
            <w:r>
              <w:rPr>
                <w:rFonts w:cs="ArialMT"/>
                <w:sz w:val="18"/>
                <w:szCs w:val="18"/>
              </w:rPr>
              <w:t xml:space="preserve">utilisation et </w:t>
            </w:r>
            <w:r w:rsidRPr="00743F0D">
              <w:rPr>
                <w:rFonts w:cs="ArialMT"/>
                <w:sz w:val="18"/>
                <w:szCs w:val="18"/>
              </w:rPr>
              <w:t>minimise les manutentions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743F0D" w:rsidRDefault="009E18E1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43F0D">
              <w:rPr>
                <w:rFonts w:cs="ArialMT"/>
                <w:sz w:val="18"/>
                <w:szCs w:val="18"/>
              </w:rPr>
              <w:t>Les moyens décrits visent la prévention collective des personnels, ainsi que la protection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743F0D">
              <w:rPr>
                <w:rFonts w:cs="ArialMT"/>
                <w:sz w:val="18"/>
                <w:szCs w:val="18"/>
              </w:rPr>
              <w:t>individuelle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743F0D" w:rsidRDefault="009E18E1" w:rsidP="003A582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743F0D">
              <w:rPr>
                <w:rFonts w:cs="ArialMT"/>
                <w:sz w:val="18"/>
                <w:szCs w:val="18"/>
              </w:rPr>
              <w:t>Les moyens de protection sont adapt</w:t>
            </w:r>
            <w:r>
              <w:rPr>
                <w:rFonts w:cs="ArialMT"/>
                <w:sz w:val="18"/>
                <w:szCs w:val="18"/>
              </w:rPr>
              <w:t xml:space="preserve">és au chantier et respectent la </w:t>
            </w:r>
            <w:r w:rsidRPr="00743F0D">
              <w:rPr>
                <w:rFonts w:cs="ArialMT"/>
                <w:sz w:val="18"/>
                <w:szCs w:val="18"/>
              </w:rPr>
              <w:t>réglementation en vigueur et</w:t>
            </w:r>
          </w:p>
          <w:p w:rsidR="009E18E1" w:rsidRPr="001A3538" w:rsidRDefault="009E18E1" w:rsidP="003A582D">
            <w:pPr>
              <w:rPr>
                <w:b/>
              </w:rPr>
            </w:pPr>
            <w:r w:rsidRPr="00743F0D">
              <w:rPr>
                <w:rFonts w:cs="ArialMT"/>
                <w:sz w:val="18"/>
                <w:szCs w:val="18"/>
              </w:rPr>
              <w:t>l‘environnement</w:t>
            </w:r>
            <w:proofErr w:type="gramStart"/>
            <w:r w:rsidRPr="00743F0D">
              <w:rPr>
                <w:rFonts w:cs="ArialMT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743F0D" w:rsidRDefault="009E18E1" w:rsidP="003A582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743F0D">
              <w:rPr>
                <w:rFonts w:cs="ArialMT"/>
                <w:sz w:val="18"/>
                <w:szCs w:val="18"/>
              </w:rPr>
              <w:t>Les méthodes prévues sont adaptées aux t</w:t>
            </w:r>
            <w:r>
              <w:rPr>
                <w:rFonts w:cs="ArialMT"/>
                <w:sz w:val="18"/>
                <w:szCs w:val="18"/>
              </w:rPr>
              <w:t xml:space="preserve">âches à réaliser et </w:t>
            </w:r>
            <w:r w:rsidRPr="00743F0D">
              <w:rPr>
                <w:rFonts w:cs="ArialMT"/>
                <w:sz w:val="18"/>
                <w:szCs w:val="18"/>
              </w:rPr>
              <w:t>respectent les dispositions</w:t>
            </w:r>
          </w:p>
          <w:p w:rsidR="009E18E1" w:rsidRPr="001A3538" w:rsidRDefault="009E18E1" w:rsidP="003A582D">
            <w:pPr>
              <w:rPr>
                <w:b/>
              </w:rPr>
            </w:pPr>
            <w:r w:rsidRPr="00743F0D">
              <w:rPr>
                <w:rFonts w:cs="ArialMT"/>
                <w:sz w:val="18"/>
                <w:szCs w:val="18"/>
              </w:rPr>
              <w:t>réglementaires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rPr>
          <w:trHeight w:val="64"/>
        </w:trPr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F17A44" w:rsidRDefault="009E18E1" w:rsidP="003A582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743F0D">
              <w:rPr>
                <w:rFonts w:cs="ArialMT"/>
                <w:sz w:val="18"/>
                <w:szCs w:val="18"/>
              </w:rPr>
              <w:t xml:space="preserve">Les disponibilités commerciales </w:t>
            </w:r>
            <w:r>
              <w:rPr>
                <w:rFonts w:cs="ArialMT"/>
                <w:sz w:val="18"/>
                <w:szCs w:val="18"/>
              </w:rPr>
              <w:t xml:space="preserve">sont correctement vérifiées. </w:t>
            </w:r>
            <w:r w:rsidRPr="00743F0D">
              <w:rPr>
                <w:rFonts w:cs="ArialMT"/>
                <w:sz w:val="18"/>
                <w:szCs w:val="18"/>
              </w:rPr>
              <w:t>Des solutions pour le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743F0D">
              <w:rPr>
                <w:rFonts w:cs="ArialMT"/>
                <w:sz w:val="18"/>
                <w:szCs w:val="18"/>
              </w:rPr>
              <w:t>remplacement des matériaux non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743F0D">
              <w:rPr>
                <w:rFonts w:cs="ArialMT"/>
                <w:sz w:val="18"/>
                <w:szCs w:val="18"/>
              </w:rPr>
              <w:t>disponibles sont envisagées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F17A44" w:rsidRDefault="009E18E1" w:rsidP="003A582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 xml:space="preserve">Les adaptations proposées sont </w:t>
            </w:r>
            <w:r w:rsidRPr="00F17A44">
              <w:rPr>
                <w:rFonts w:cs="ArialMT"/>
                <w:sz w:val="18"/>
                <w:szCs w:val="18"/>
              </w:rPr>
              <w:t>pertinentes et techniquement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F17A44">
              <w:rPr>
                <w:rFonts w:cs="ArialMT"/>
                <w:sz w:val="18"/>
                <w:szCs w:val="18"/>
              </w:rPr>
              <w:t>envisageables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F17A44">
              <w:rPr>
                <w:rFonts w:cs="ArialMT"/>
                <w:sz w:val="18"/>
                <w:szCs w:val="18"/>
              </w:rPr>
              <w:t>Elles respectent les exigences</w:t>
            </w:r>
            <w:r>
              <w:rPr>
                <w:rFonts w:cs="ArialMT"/>
                <w:sz w:val="18"/>
                <w:szCs w:val="18"/>
              </w:rPr>
              <w:t xml:space="preserve"> réglementaires et les diverses </w:t>
            </w:r>
            <w:r w:rsidRPr="00F17A44">
              <w:rPr>
                <w:rFonts w:cs="ArialMT"/>
                <w:sz w:val="18"/>
                <w:szCs w:val="18"/>
              </w:rPr>
              <w:t>contraintes.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F17A44" w:rsidRDefault="009E18E1" w:rsidP="003A582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 xml:space="preserve">Les adaptations proposées sont </w:t>
            </w:r>
            <w:r w:rsidRPr="00F17A44">
              <w:rPr>
                <w:rFonts w:cs="ArialMT"/>
                <w:sz w:val="18"/>
                <w:szCs w:val="18"/>
              </w:rPr>
              <w:t>transmises à la hiérarchie.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F17A44">
              <w:rPr>
                <w:rFonts w:cs="ArialMT"/>
                <w:sz w:val="18"/>
                <w:szCs w:val="18"/>
              </w:rPr>
              <w:t>Le document est lisible et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F17A44">
              <w:rPr>
                <w:rFonts w:cs="ArialMT"/>
                <w:sz w:val="18"/>
                <w:szCs w:val="18"/>
              </w:rPr>
              <w:t>exploitable.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Default="009E18E1" w:rsidP="003A582D"/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  <w:tr w:rsidR="009E18E1" w:rsidTr="003A582D">
        <w:trPr>
          <w:trHeight w:val="64"/>
        </w:trPr>
        <w:tc>
          <w:tcPr>
            <w:tcW w:w="397" w:type="dxa"/>
          </w:tcPr>
          <w:p w:rsidR="009E18E1" w:rsidRDefault="009E18E1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9E18E1" w:rsidRPr="00DB47B3" w:rsidRDefault="009E18E1" w:rsidP="003A582D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9E18E1" w:rsidRPr="00DB47B3" w:rsidRDefault="009E18E1" w:rsidP="003A582D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9E18E1" w:rsidRDefault="009E18E1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E18E1" w:rsidRDefault="009E18E1" w:rsidP="003A582D">
            <w:pPr>
              <w:rPr>
                <w:b/>
              </w:rPr>
            </w:pPr>
          </w:p>
        </w:tc>
      </w:tr>
    </w:tbl>
    <w:p w:rsidR="009E18E1" w:rsidRDefault="009E18E1" w:rsidP="009E18E1">
      <w:pPr>
        <w:spacing w:after="0" w:line="240" w:lineRule="auto"/>
        <w:rPr>
          <w:b/>
        </w:rPr>
      </w:pPr>
    </w:p>
    <w:p w:rsidR="001C390F" w:rsidRDefault="003834DB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.7pt;margin-top:32.25pt;width:468pt;height:0;z-index:251659264" o:connectortype="straigh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7pt;margin-top:8.45pt;width:468pt;height:63.85pt;z-index:251658240">
            <v:textbox>
              <w:txbxContent>
                <w:p w:rsidR="003834DB" w:rsidRDefault="003834DB">
                  <w:r>
                    <w:t>OBSERVATION</w:t>
                  </w:r>
                </w:p>
              </w:txbxContent>
            </v:textbox>
          </v:shape>
        </w:pict>
      </w:r>
    </w:p>
    <w:sectPr w:rsidR="001C390F" w:rsidSect="001C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18E1"/>
    <w:rsid w:val="001C390F"/>
    <w:rsid w:val="003834DB"/>
    <w:rsid w:val="00973C33"/>
    <w:rsid w:val="009E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dcterms:created xsi:type="dcterms:W3CDTF">2016-01-18T17:43:00Z</dcterms:created>
  <dcterms:modified xsi:type="dcterms:W3CDTF">2016-01-18T18:22:00Z</dcterms:modified>
</cp:coreProperties>
</file>