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04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1E6E0F" w:rsidTr="001E6E0F">
        <w:tc>
          <w:tcPr>
            <w:tcW w:w="5495" w:type="dxa"/>
            <w:gridSpan w:val="4"/>
            <w:shd w:val="clear" w:color="auto" w:fill="00B0F0"/>
          </w:tcPr>
          <w:p w:rsidR="001E6E0F" w:rsidRPr="00BD1502" w:rsidRDefault="001E6E0F" w:rsidP="001E6E0F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1E6E0F" w:rsidRDefault="001E6E0F" w:rsidP="001E6E0F">
            <w:r w:rsidRPr="00A3725A">
              <w:t>Compétence terminale :</w:t>
            </w:r>
          </w:p>
        </w:tc>
        <w:tc>
          <w:tcPr>
            <w:tcW w:w="1100" w:type="dxa"/>
          </w:tcPr>
          <w:p w:rsidR="001E6E0F" w:rsidRPr="007E16D7" w:rsidRDefault="001E6E0F" w:rsidP="001E6E0F">
            <w:pPr>
              <w:rPr>
                <w:b/>
              </w:rPr>
            </w:pPr>
            <w:r>
              <w:rPr>
                <w:b/>
              </w:rPr>
              <w:t>C3.7</w:t>
            </w:r>
            <w:r w:rsidRPr="007E16D7">
              <w:rPr>
                <w:b/>
              </w:rPr>
              <w:t xml:space="preserve"> </w:t>
            </w:r>
          </w:p>
        </w:tc>
      </w:tr>
      <w:tr w:rsidR="001E6E0F" w:rsidTr="001E6E0F">
        <w:tc>
          <w:tcPr>
            <w:tcW w:w="1517" w:type="dxa"/>
          </w:tcPr>
          <w:p w:rsidR="001E6E0F" w:rsidRDefault="001E6E0F" w:rsidP="001E6E0F">
            <w:r>
              <w:t>THEME</w:t>
            </w:r>
          </w:p>
        </w:tc>
        <w:tc>
          <w:tcPr>
            <w:tcW w:w="7771" w:type="dxa"/>
            <w:gridSpan w:val="7"/>
          </w:tcPr>
          <w:p w:rsidR="001E6E0F" w:rsidRDefault="001E6E0F" w:rsidP="001E6E0F"/>
        </w:tc>
      </w:tr>
      <w:tr w:rsidR="001E6E0F" w:rsidTr="001E6E0F">
        <w:tc>
          <w:tcPr>
            <w:tcW w:w="9288" w:type="dxa"/>
            <w:gridSpan w:val="8"/>
          </w:tcPr>
          <w:p w:rsidR="001E6E0F" w:rsidRDefault="001E6E0F" w:rsidP="001E6E0F">
            <w:pPr>
              <w:jc w:val="center"/>
            </w:pPr>
            <w:r>
              <w:t>PERIODE</w:t>
            </w:r>
          </w:p>
        </w:tc>
      </w:tr>
      <w:tr w:rsidR="001E6E0F" w:rsidTr="001E6E0F">
        <w:tc>
          <w:tcPr>
            <w:tcW w:w="1517" w:type="dxa"/>
          </w:tcPr>
          <w:p w:rsidR="001E6E0F" w:rsidRDefault="001E6E0F" w:rsidP="001E6E0F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1E6E0F" w:rsidRDefault="001E6E0F" w:rsidP="001E6E0F"/>
        </w:tc>
        <w:tc>
          <w:tcPr>
            <w:tcW w:w="1033" w:type="dxa"/>
          </w:tcPr>
          <w:p w:rsidR="001E6E0F" w:rsidRDefault="001E6E0F" w:rsidP="001E6E0F">
            <w:r>
              <w:t>1er</w:t>
            </w:r>
          </w:p>
        </w:tc>
        <w:tc>
          <w:tcPr>
            <w:tcW w:w="1509" w:type="dxa"/>
            <w:gridSpan w:val="2"/>
          </w:tcPr>
          <w:p w:rsidR="001E6E0F" w:rsidRDefault="001E6E0F" w:rsidP="001E6E0F"/>
        </w:tc>
        <w:tc>
          <w:tcPr>
            <w:tcW w:w="1514" w:type="dxa"/>
          </w:tcPr>
          <w:p w:rsidR="001E6E0F" w:rsidRDefault="001E6E0F" w:rsidP="001E6E0F">
            <w:r>
              <w:t>Ter</w:t>
            </w:r>
          </w:p>
        </w:tc>
        <w:tc>
          <w:tcPr>
            <w:tcW w:w="1504" w:type="dxa"/>
            <w:gridSpan w:val="2"/>
          </w:tcPr>
          <w:p w:rsidR="001E6E0F" w:rsidRDefault="001E6E0F" w:rsidP="001E6E0F"/>
        </w:tc>
      </w:tr>
      <w:tr w:rsidR="001E6E0F" w:rsidTr="001E6E0F">
        <w:tc>
          <w:tcPr>
            <w:tcW w:w="1517" w:type="dxa"/>
          </w:tcPr>
          <w:p w:rsidR="001E6E0F" w:rsidRDefault="001E6E0F" w:rsidP="001E6E0F">
            <w:r>
              <w:t>NOM</w:t>
            </w:r>
          </w:p>
        </w:tc>
        <w:tc>
          <w:tcPr>
            <w:tcW w:w="2211" w:type="dxa"/>
          </w:tcPr>
          <w:p w:rsidR="001E6E0F" w:rsidRDefault="001E6E0F" w:rsidP="001E6E0F"/>
        </w:tc>
        <w:tc>
          <w:tcPr>
            <w:tcW w:w="1033" w:type="dxa"/>
          </w:tcPr>
          <w:p w:rsidR="001E6E0F" w:rsidRDefault="001E6E0F" w:rsidP="001E6E0F">
            <w:r>
              <w:t>PRENOM</w:t>
            </w:r>
          </w:p>
        </w:tc>
        <w:tc>
          <w:tcPr>
            <w:tcW w:w="1509" w:type="dxa"/>
            <w:gridSpan w:val="2"/>
          </w:tcPr>
          <w:p w:rsidR="001E6E0F" w:rsidRDefault="001E6E0F" w:rsidP="001E6E0F"/>
        </w:tc>
        <w:tc>
          <w:tcPr>
            <w:tcW w:w="1514" w:type="dxa"/>
          </w:tcPr>
          <w:p w:rsidR="001E6E0F" w:rsidRDefault="001E6E0F" w:rsidP="001E6E0F">
            <w:r>
              <w:t>DATE</w:t>
            </w:r>
          </w:p>
        </w:tc>
        <w:tc>
          <w:tcPr>
            <w:tcW w:w="1504" w:type="dxa"/>
            <w:gridSpan w:val="2"/>
          </w:tcPr>
          <w:p w:rsidR="001E6E0F" w:rsidRDefault="001E6E0F" w:rsidP="001E6E0F"/>
        </w:tc>
      </w:tr>
    </w:tbl>
    <w:p w:rsidR="001E6E0F" w:rsidRDefault="001E6E0F" w:rsidP="001E6E0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1E6E0F" w:rsidTr="006558CF">
        <w:tc>
          <w:tcPr>
            <w:tcW w:w="9322" w:type="dxa"/>
            <w:shd w:val="clear" w:color="auto" w:fill="FFFF00"/>
          </w:tcPr>
          <w:p w:rsidR="001E6E0F" w:rsidRPr="00D15C4D" w:rsidRDefault="001E6E0F" w:rsidP="006558CF">
            <w:r w:rsidRPr="00D15C4D">
              <w:rPr>
                <w:b/>
                <w:i/>
              </w:rPr>
              <w:t>OBJECTIF </w:t>
            </w:r>
            <w:proofErr w:type="gramStart"/>
            <w:r w:rsidRPr="00D15C4D">
              <w:rPr>
                <w:b/>
                <w:i/>
              </w:rPr>
              <w:t>:</w:t>
            </w:r>
            <w:bookmarkStart w:id="0" w:name="_GoBack"/>
            <w:bookmarkEnd w:id="0"/>
            <w:r w:rsidRPr="00D15C4D">
              <w:rPr>
                <w:b/>
              </w:rPr>
              <w:t>L’élève</w:t>
            </w:r>
            <w:proofErr w:type="gramEnd"/>
            <w:r w:rsidRPr="00D15C4D">
              <w:rPr>
                <w:b/>
              </w:rPr>
              <w:t xml:space="preserve"> doit être capable d’</w:t>
            </w:r>
            <w:r w:rsidRPr="00D15C4D">
              <w:rPr>
                <w:rFonts w:cs="Arial-BoldMT"/>
                <w:b/>
                <w:bCs/>
              </w:rPr>
              <w:t>Appliquer des produits, des enduits.</w:t>
            </w:r>
          </w:p>
        </w:tc>
      </w:tr>
    </w:tbl>
    <w:p w:rsidR="001E6E0F" w:rsidRDefault="001E6E0F" w:rsidP="001E6E0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1"/>
        <w:gridCol w:w="8897"/>
      </w:tblGrid>
      <w:tr w:rsidR="001E6E0F" w:rsidTr="006558CF">
        <w:tc>
          <w:tcPr>
            <w:tcW w:w="9322" w:type="dxa"/>
            <w:gridSpan w:val="2"/>
            <w:shd w:val="clear" w:color="auto" w:fill="CCC0D9" w:themeFill="accent4" w:themeFillTint="66"/>
          </w:tcPr>
          <w:p w:rsidR="001E6E0F" w:rsidRPr="00BD1502" w:rsidRDefault="001E6E0F" w:rsidP="006558CF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>Consignes orales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>Consignes de sécurité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>Plan de Prévention et de Sécurité Pour la Santé (P.P.S.P.S.)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t xml:space="preserve">Dossiers et notices techniques 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>Document unique (D.U.)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 xml:space="preserve">Procédures d’installation et /ou de montage des éléments de sécurité 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>Matériaux et produits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>Matériels de chantier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>Equipements de protection</w:t>
            </w:r>
            <w:r w:rsidRPr="00D15C4D">
              <w:t xml:space="preserve"> </w:t>
            </w:r>
            <w:r w:rsidRPr="00D15C4D">
              <w:rPr>
                <w:rFonts w:cs="ArialMT"/>
              </w:rPr>
              <w:t>individuelle (E.P.I.) et collectifs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>Moyens de protection des biens et des locaux.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Pr="00D15C4D" w:rsidRDefault="001E6E0F" w:rsidP="006558CF">
            <w:r w:rsidRPr="00D15C4D">
              <w:rPr>
                <w:rFonts w:cs="ArialMT"/>
              </w:rPr>
              <w:t>Raccord de plâtre limité à 2 m² Plâtre allégé Plâtre ordinaire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930" w:type="dxa"/>
          </w:tcPr>
          <w:p w:rsidR="001E6E0F" w:rsidRDefault="001E6E0F" w:rsidP="006558CF"/>
        </w:tc>
      </w:tr>
    </w:tbl>
    <w:p w:rsidR="001E6E0F" w:rsidRDefault="001E6E0F" w:rsidP="001E6E0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2"/>
        <w:gridCol w:w="850"/>
        <w:gridCol w:w="8046"/>
      </w:tblGrid>
      <w:tr w:rsidR="001E6E0F" w:rsidTr="006558CF">
        <w:tc>
          <w:tcPr>
            <w:tcW w:w="9288" w:type="dxa"/>
            <w:gridSpan w:val="3"/>
            <w:shd w:val="clear" w:color="auto" w:fill="FBD4B4" w:themeFill="accent6" w:themeFillTint="66"/>
          </w:tcPr>
          <w:p w:rsidR="001E6E0F" w:rsidRPr="00BD1502" w:rsidRDefault="001E6E0F" w:rsidP="006558CF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50" w:type="dxa"/>
          </w:tcPr>
          <w:p w:rsidR="001E6E0F" w:rsidRDefault="001E6E0F" w:rsidP="006558CF">
            <w:r>
              <w:t>C3.71</w:t>
            </w:r>
          </w:p>
        </w:tc>
        <w:tc>
          <w:tcPr>
            <w:tcW w:w="8046" w:type="dxa"/>
          </w:tcPr>
          <w:p w:rsidR="001E6E0F" w:rsidRPr="00434749" w:rsidRDefault="001E6E0F" w:rsidP="006558CF">
            <w:r w:rsidRPr="00434749">
              <w:t xml:space="preserve"> </w:t>
            </w:r>
            <w:r w:rsidRPr="00434749">
              <w:rPr>
                <w:rFonts w:cs="Arial-BoldMT"/>
                <w:b/>
                <w:bCs/>
              </w:rPr>
              <w:t xml:space="preserve">Préparer </w:t>
            </w:r>
            <w:r w:rsidRPr="00434749">
              <w:rPr>
                <w:rFonts w:cs="ArialMT"/>
              </w:rPr>
              <w:t>le produit.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50" w:type="dxa"/>
          </w:tcPr>
          <w:p w:rsidR="001E6E0F" w:rsidRDefault="001E6E0F" w:rsidP="006558CF">
            <w:r>
              <w:t>C3.72</w:t>
            </w:r>
          </w:p>
        </w:tc>
        <w:tc>
          <w:tcPr>
            <w:tcW w:w="8046" w:type="dxa"/>
          </w:tcPr>
          <w:p w:rsidR="001E6E0F" w:rsidRPr="00434749" w:rsidRDefault="001E6E0F" w:rsidP="006558CF">
            <w:r w:rsidRPr="00434749">
              <w:rPr>
                <w:rFonts w:cs="Arial-BoldMT"/>
                <w:b/>
                <w:bCs/>
              </w:rPr>
              <w:t xml:space="preserve">Mettre </w:t>
            </w:r>
            <w:r w:rsidRPr="00434749">
              <w:rPr>
                <w:rFonts w:cs="ArialMT"/>
              </w:rPr>
              <w:t>à viscosité.</w:t>
            </w:r>
          </w:p>
        </w:tc>
      </w:tr>
      <w:tr w:rsidR="001E6E0F" w:rsidTr="006558CF">
        <w:tc>
          <w:tcPr>
            <w:tcW w:w="392" w:type="dxa"/>
          </w:tcPr>
          <w:p w:rsidR="001E6E0F" w:rsidRDefault="001E6E0F" w:rsidP="006558CF"/>
        </w:tc>
        <w:tc>
          <w:tcPr>
            <w:tcW w:w="850" w:type="dxa"/>
          </w:tcPr>
          <w:p w:rsidR="001E6E0F" w:rsidRDefault="001E6E0F" w:rsidP="006558CF">
            <w:r>
              <w:t>C3.73</w:t>
            </w:r>
          </w:p>
        </w:tc>
        <w:tc>
          <w:tcPr>
            <w:tcW w:w="8046" w:type="dxa"/>
          </w:tcPr>
          <w:p w:rsidR="001E6E0F" w:rsidRPr="00434749" w:rsidRDefault="001E6E0F" w:rsidP="006558CF">
            <w:r w:rsidRPr="00434749">
              <w:rPr>
                <w:rFonts w:cs="Arial-BoldMT"/>
                <w:b/>
                <w:bCs/>
              </w:rPr>
              <w:t xml:space="preserve">Rechercher </w:t>
            </w:r>
            <w:r w:rsidRPr="00434749">
              <w:rPr>
                <w:rFonts w:cs="ArialMT"/>
              </w:rPr>
              <w:t>une teinte.</w:t>
            </w:r>
          </w:p>
        </w:tc>
      </w:tr>
      <w:tr w:rsidR="001E6E0F" w:rsidRPr="00DB47B3" w:rsidTr="006558CF">
        <w:tc>
          <w:tcPr>
            <w:tcW w:w="392" w:type="dxa"/>
          </w:tcPr>
          <w:p w:rsidR="001E6E0F" w:rsidRPr="00DB47B3" w:rsidRDefault="001E6E0F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1E6E0F" w:rsidRPr="00DB47B3" w:rsidRDefault="001E6E0F" w:rsidP="006558CF">
            <w:r>
              <w:t>C3.74</w:t>
            </w:r>
          </w:p>
        </w:tc>
        <w:tc>
          <w:tcPr>
            <w:tcW w:w="8046" w:type="dxa"/>
          </w:tcPr>
          <w:p w:rsidR="001E6E0F" w:rsidRPr="00434749" w:rsidRDefault="001E6E0F" w:rsidP="006558CF">
            <w:pPr>
              <w:rPr>
                <w:b/>
              </w:rPr>
            </w:pPr>
            <w:r w:rsidRPr="00434749">
              <w:rPr>
                <w:rFonts w:cs="Arial-BoldMT"/>
                <w:b/>
                <w:bCs/>
              </w:rPr>
              <w:t xml:space="preserve">Corriger </w:t>
            </w:r>
            <w:r w:rsidRPr="00434749">
              <w:rPr>
                <w:rFonts w:cs="ArialMT"/>
              </w:rPr>
              <w:t>une teinte.</w:t>
            </w:r>
          </w:p>
        </w:tc>
      </w:tr>
      <w:tr w:rsidR="001E6E0F" w:rsidRPr="00DB47B3" w:rsidTr="006558CF">
        <w:tc>
          <w:tcPr>
            <w:tcW w:w="392" w:type="dxa"/>
          </w:tcPr>
          <w:p w:rsidR="001E6E0F" w:rsidRPr="00DB47B3" w:rsidRDefault="001E6E0F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1E6E0F" w:rsidRPr="00DB47B3" w:rsidRDefault="001E6E0F" w:rsidP="006558CF">
            <w:r>
              <w:t>C3.75</w:t>
            </w:r>
          </w:p>
        </w:tc>
        <w:tc>
          <w:tcPr>
            <w:tcW w:w="8046" w:type="dxa"/>
          </w:tcPr>
          <w:p w:rsidR="001E6E0F" w:rsidRPr="00434749" w:rsidRDefault="001E6E0F" w:rsidP="006558CF">
            <w:r w:rsidRPr="00434749">
              <w:rPr>
                <w:rFonts w:cs="Arial-BoldMT"/>
                <w:b/>
                <w:bCs/>
              </w:rPr>
              <w:t xml:space="preserve">Préparer, régler </w:t>
            </w:r>
            <w:r w:rsidRPr="00434749">
              <w:rPr>
                <w:rFonts w:cs="ArialMT"/>
              </w:rPr>
              <w:t>le matériel</w:t>
            </w:r>
          </w:p>
        </w:tc>
      </w:tr>
      <w:tr w:rsidR="001E6E0F" w:rsidRPr="00DB47B3" w:rsidTr="006558CF">
        <w:tc>
          <w:tcPr>
            <w:tcW w:w="392" w:type="dxa"/>
          </w:tcPr>
          <w:p w:rsidR="001E6E0F" w:rsidRPr="00DB47B3" w:rsidRDefault="001E6E0F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1E6E0F" w:rsidRPr="00DB47B3" w:rsidRDefault="001E6E0F" w:rsidP="006558CF">
            <w:r>
              <w:t>C3.76</w:t>
            </w:r>
          </w:p>
        </w:tc>
        <w:tc>
          <w:tcPr>
            <w:tcW w:w="8046" w:type="dxa"/>
          </w:tcPr>
          <w:p w:rsidR="001E6E0F" w:rsidRPr="00434749" w:rsidRDefault="001E6E0F" w:rsidP="006558CF">
            <w:r w:rsidRPr="00434749">
              <w:rPr>
                <w:rFonts w:cs="Arial-BoldMT"/>
                <w:b/>
                <w:bCs/>
              </w:rPr>
              <w:t xml:space="preserve">Appliquer </w:t>
            </w:r>
            <w:r w:rsidRPr="00434749">
              <w:rPr>
                <w:rFonts w:cs="ArialMT"/>
              </w:rPr>
              <w:t>: des peintures des vernis, des lasures des enduits de finition  des produits à effets décoratifs</w:t>
            </w:r>
          </w:p>
        </w:tc>
      </w:tr>
      <w:tr w:rsidR="001E6E0F" w:rsidRPr="00DB47B3" w:rsidTr="006558CF">
        <w:tc>
          <w:tcPr>
            <w:tcW w:w="392" w:type="dxa"/>
          </w:tcPr>
          <w:p w:rsidR="001E6E0F" w:rsidRPr="00DB47B3" w:rsidRDefault="001E6E0F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1E6E0F" w:rsidRPr="00DB47B3" w:rsidRDefault="001E6E0F" w:rsidP="006558CF">
            <w:r>
              <w:t>C3.77</w:t>
            </w:r>
          </w:p>
        </w:tc>
        <w:tc>
          <w:tcPr>
            <w:tcW w:w="8046" w:type="dxa"/>
          </w:tcPr>
          <w:p w:rsidR="001E6E0F" w:rsidRPr="00434749" w:rsidRDefault="001E6E0F" w:rsidP="006558CF">
            <w:r w:rsidRPr="00434749">
              <w:rPr>
                <w:rFonts w:cs="Arial-BoldMT"/>
                <w:b/>
                <w:bCs/>
              </w:rPr>
              <w:t xml:space="preserve">Dresser </w:t>
            </w:r>
            <w:r w:rsidRPr="00434749">
              <w:rPr>
                <w:rFonts w:cs="ArialMT"/>
              </w:rPr>
              <w:t xml:space="preserve">et </w:t>
            </w:r>
            <w:r w:rsidRPr="00434749">
              <w:rPr>
                <w:rFonts w:cs="Arial-BoldMT"/>
                <w:b/>
                <w:bCs/>
              </w:rPr>
              <w:t xml:space="preserve">réaliser </w:t>
            </w:r>
            <w:r w:rsidRPr="00434749">
              <w:rPr>
                <w:rFonts w:cs="ArialMT"/>
              </w:rPr>
              <w:t>un enduit de plâtre.</w:t>
            </w:r>
          </w:p>
        </w:tc>
      </w:tr>
      <w:tr w:rsidR="001E6E0F" w:rsidRPr="00DB47B3" w:rsidTr="006558CF">
        <w:tc>
          <w:tcPr>
            <w:tcW w:w="392" w:type="dxa"/>
          </w:tcPr>
          <w:p w:rsidR="001E6E0F" w:rsidRPr="00DB47B3" w:rsidRDefault="001E6E0F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1E6E0F" w:rsidRDefault="001E6E0F" w:rsidP="006558CF">
            <w:r>
              <w:t>C3.78</w:t>
            </w:r>
          </w:p>
        </w:tc>
        <w:tc>
          <w:tcPr>
            <w:tcW w:w="8046" w:type="dxa"/>
          </w:tcPr>
          <w:p w:rsidR="001E6E0F" w:rsidRPr="00434749" w:rsidRDefault="001E6E0F" w:rsidP="006558CF">
            <w:r w:rsidRPr="00434749">
              <w:rPr>
                <w:rFonts w:cs="Arial-BoldMT"/>
                <w:b/>
                <w:bCs/>
              </w:rPr>
              <w:t xml:space="preserve">Ranger </w:t>
            </w:r>
            <w:r w:rsidRPr="00434749">
              <w:rPr>
                <w:rFonts w:cs="ArialMT"/>
              </w:rPr>
              <w:t>les produits, le matériel et trier les déchets.</w:t>
            </w:r>
          </w:p>
        </w:tc>
      </w:tr>
      <w:tr w:rsidR="001E6E0F" w:rsidRPr="00DB47B3" w:rsidTr="006558CF">
        <w:tc>
          <w:tcPr>
            <w:tcW w:w="392" w:type="dxa"/>
          </w:tcPr>
          <w:p w:rsidR="001E6E0F" w:rsidRPr="00DB47B3" w:rsidRDefault="001E6E0F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1E6E0F" w:rsidRPr="00DB47B3" w:rsidRDefault="001E6E0F" w:rsidP="006558CF">
            <w:pPr>
              <w:rPr>
                <w:b/>
              </w:rPr>
            </w:pPr>
            <w:r>
              <w:t>C3.79</w:t>
            </w:r>
          </w:p>
        </w:tc>
        <w:tc>
          <w:tcPr>
            <w:tcW w:w="8046" w:type="dxa"/>
          </w:tcPr>
          <w:p w:rsidR="001E6E0F" w:rsidRPr="00434749" w:rsidRDefault="001E6E0F" w:rsidP="006558CF">
            <w:pPr>
              <w:rPr>
                <w:b/>
              </w:rPr>
            </w:pPr>
            <w:r w:rsidRPr="00434749">
              <w:rPr>
                <w:rFonts w:cs="Arial-BoldMT"/>
                <w:b/>
                <w:bCs/>
              </w:rPr>
              <w:t xml:space="preserve">Nettoyer </w:t>
            </w:r>
            <w:r w:rsidRPr="00434749">
              <w:rPr>
                <w:rFonts w:cs="ArialMT"/>
              </w:rPr>
              <w:t>le matériel, le chantier, les abords.</w:t>
            </w:r>
          </w:p>
        </w:tc>
      </w:tr>
    </w:tbl>
    <w:p w:rsidR="001E6E0F" w:rsidRDefault="001E6E0F" w:rsidP="001E6E0F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1E6E0F" w:rsidTr="006558CF">
        <w:tc>
          <w:tcPr>
            <w:tcW w:w="7938" w:type="dxa"/>
            <w:gridSpan w:val="2"/>
            <w:shd w:val="clear" w:color="auto" w:fill="D6E3BC" w:themeFill="accent3" w:themeFillTint="66"/>
          </w:tcPr>
          <w:p w:rsidR="001E6E0F" w:rsidRDefault="001E6E0F" w:rsidP="006558CF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1E6E0F" w:rsidRDefault="001E6E0F" w:rsidP="006558CF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61304A" w:rsidRDefault="001E6E0F" w:rsidP="006558CF">
            <w:pPr>
              <w:rPr>
                <w:b/>
              </w:rPr>
            </w:pPr>
            <w:r w:rsidRPr="0061304A">
              <w:rPr>
                <w:rFonts w:cs="ArialMT"/>
              </w:rPr>
              <w:t>Le produit est prêt à être appliqué dans des conditions optimales.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61304A" w:rsidRDefault="001E6E0F" w:rsidP="006558CF">
            <w:pPr>
              <w:rPr>
                <w:b/>
              </w:rPr>
            </w:pPr>
            <w:r w:rsidRPr="0061304A">
              <w:rPr>
                <w:rFonts w:cs="ArialMT"/>
              </w:rPr>
              <w:t>La teinte se confond avec le matériau ; Le volume de “ colorant universel ” utilisé ne dépasse  pas le % autorisé.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61304A" w:rsidRDefault="001E6E0F" w:rsidP="006558CF">
            <w:pPr>
              <w:rPr>
                <w:b/>
              </w:rPr>
            </w:pPr>
            <w:r w:rsidRPr="0061304A">
              <w:rPr>
                <w:rFonts w:cs="ArialMT"/>
              </w:rPr>
              <w:t>Après séchage, la teinte est conforme à l’échantillon donné.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61304A" w:rsidRDefault="001E6E0F" w:rsidP="006558CF">
            <w:pPr>
              <w:rPr>
                <w:b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L’aspect du produit est proche de celui du matériau (mat, satiné, brillant).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61304A" w:rsidRDefault="001E6E0F" w:rsidP="006558CF">
            <w:pPr>
              <w:rPr>
                <w:b/>
              </w:rPr>
            </w:pPr>
            <w:r w:rsidRPr="0061304A">
              <w:rPr>
                <w:rFonts w:cs="ArialMT"/>
              </w:rPr>
              <w:t>Le matériel est identifié et réglé en fonction du résultat souhaité, des échantillons fournis, ...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61304A" w:rsidRDefault="001E6E0F" w:rsidP="006558CF">
            <w:pPr>
              <w:rPr>
                <w:b/>
              </w:rPr>
            </w:pPr>
            <w:r w:rsidRPr="0061304A">
              <w:rPr>
                <w:rFonts w:cs="ArialMT"/>
              </w:rPr>
              <w:t>La viscosité est adaptée</w:t>
            </w:r>
            <w:proofErr w:type="gramStart"/>
            <w:r w:rsidRPr="0061304A">
              <w:rPr>
                <w:rFonts w:cs="ArialMT"/>
              </w:rPr>
              <w:t>.</w:t>
            </w:r>
            <w:r w:rsidRPr="0061304A">
              <w:t>.</w:t>
            </w:r>
            <w:proofErr w:type="gramEnd"/>
            <w:r w:rsidRPr="0061304A">
              <w:rPr>
                <w:rFonts w:cs="ArialMT"/>
              </w:rPr>
              <w:t xml:space="preserve"> Le matériel est adapté à la complexité de l’ouvrage et au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61304A">
              <w:rPr>
                <w:rFonts w:cs="ArialMT"/>
              </w:rPr>
              <w:t>produit</w:t>
            </w: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61304A" w:rsidRDefault="001E6E0F" w:rsidP="006558CF">
            <w:pPr>
              <w:rPr>
                <w:b/>
              </w:rPr>
            </w:pPr>
            <w:r w:rsidRPr="0061304A">
              <w:rPr>
                <w:rFonts w:cs="ArialMT"/>
              </w:rPr>
              <w:t>L’aspect final est conforme à la qualité de finition souhaitée.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61304A" w:rsidRDefault="001E6E0F" w:rsidP="006558CF">
            <w:pPr>
              <w:rPr>
                <w:b/>
              </w:rPr>
            </w:pPr>
            <w:r w:rsidRPr="0061304A">
              <w:rPr>
                <w:rFonts w:cs="ArialMT"/>
              </w:rPr>
              <w:t>L’application est uniforme : sans coulures ni surcharges,  la teinte est uniforme.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61304A" w:rsidRDefault="001E6E0F" w:rsidP="006558CF">
            <w:r w:rsidRPr="0061304A">
              <w:rPr>
                <w:rFonts w:cs="ArialMT"/>
              </w:rPr>
              <w:t>Les règles d’hygiène, de sécurité et de protection de l’environnement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  <w:tr w:rsidR="001E6E0F" w:rsidTr="006558CF">
        <w:tc>
          <w:tcPr>
            <w:tcW w:w="397" w:type="dxa"/>
          </w:tcPr>
          <w:p w:rsidR="001E6E0F" w:rsidRDefault="001E6E0F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1E6E0F" w:rsidRPr="00DB47B3" w:rsidRDefault="001E6E0F" w:rsidP="006558CF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1E6E0F" w:rsidRPr="00DB47B3" w:rsidRDefault="001E6E0F" w:rsidP="006558CF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1E6E0F" w:rsidRDefault="001E6E0F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1E6E0F" w:rsidRDefault="001E6E0F" w:rsidP="006558CF">
            <w:pPr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tblpY="166"/>
        <w:tblW w:w="0" w:type="auto"/>
        <w:tblLook w:val="04A0"/>
      </w:tblPr>
      <w:tblGrid>
        <w:gridCol w:w="9288"/>
      </w:tblGrid>
      <w:tr w:rsidR="001E6E0F" w:rsidTr="006558CF">
        <w:tc>
          <w:tcPr>
            <w:tcW w:w="9322" w:type="dxa"/>
          </w:tcPr>
          <w:p w:rsidR="001E6E0F" w:rsidRDefault="001E6E0F" w:rsidP="006558CF">
            <w:r>
              <w:t>OBSERVATION </w:t>
            </w:r>
          </w:p>
        </w:tc>
      </w:tr>
      <w:tr w:rsidR="001E6E0F" w:rsidRPr="00BD1502" w:rsidTr="002F1206">
        <w:trPr>
          <w:trHeight w:val="710"/>
        </w:trPr>
        <w:tc>
          <w:tcPr>
            <w:tcW w:w="9322" w:type="dxa"/>
          </w:tcPr>
          <w:p w:rsidR="001E6E0F" w:rsidRPr="00BD1502" w:rsidRDefault="001E6E0F" w:rsidP="006558CF">
            <w:pPr>
              <w:rPr>
                <w:i/>
              </w:rPr>
            </w:pPr>
          </w:p>
        </w:tc>
      </w:tr>
    </w:tbl>
    <w:p w:rsidR="009E09CE" w:rsidRDefault="009E09CE"/>
    <w:sectPr w:rsidR="009E09CE" w:rsidSect="009E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6E0F"/>
    <w:rsid w:val="001E6E0F"/>
    <w:rsid w:val="002F1206"/>
    <w:rsid w:val="007A41C0"/>
    <w:rsid w:val="009E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cp:lastPrinted>2016-01-15T11:31:00Z</cp:lastPrinted>
  <dcterms:created xsi:type="dcterms:W3CDTF">2016-01-15T11:31:00Z</dcterms:created>
  <dcterms:modified xsi:type="dcterms:W3CDTF">2016-01-28T11:00:00Z</dcterms:modified>
</cp:coreProperties>
</file>